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C5" w:rsidRPr="007F70D6" w:rsidRDefault="00705FC5" w:rsidP="00705FC5">
      <w:pPr>
        <w:tabs>
          <w:tab w:val="center" w:pos="7371"/>
        </w:tabs>
        <w:suppressAutoHyphens w:val="0"/>
        <w:autoSpaceDE w:val="0"/>
        <w:spacing w:after="0" w:line="312" w:lineRule="auto"/>
        <w:rPr>
          <w:rFonts w:ascii="Times New Roman" w:hAnsi="Times New Roman" w:cs="Times New Roman"/>
          <w:sz w:val="24"/>
          <w:szCs w:val="24"/>
        </w:rPr>
      </w:pPr>
      <w:bookmarkStart w:id="0" w:name="_GoBack"/>
      <w:bookmarkEnd w:id="0"/>
    </w:p>
    <w:p w:rsidR="00705FC5" w:rsidRPr="007F70D6" w:rsidRDefault="00705FC5" w:rsidP="00705FC5">
      <w:pPr>
        <w:tabs>
          <w:tab w:val="center" w:pos="7371"/>
        </w:tabs>
        <w:suppressAutoHyphens w:val="0"/>
        <w:autoSpaceDE w:val="0"/>
        <w:spacing w:after="0" w:line="312" w:lineRule="auto"/>
        <w:jc w:val="right"/>
        <w:rPr>
          <w:rFonts w:ascii="Times New Roman" w:hAnsi="Times New Roman" w:cs="Times New Roman"/>
          <w:sz w:val="24"/>
          <w:szCs w:val="24"/>
        </w:rPr>
      </w:pPr>
      <w:r w:rsidRPr="007F70D6">
        <w:rPr>
          <w:rFonts w:ascii="Times New Roman" w:hAnsi="Times New Roman" w:cs="Times New Roman"/>
          <w:sz w:val="24"/>
          <w:szCs w:val="24"/>
        </w:rPr>
        <w:t>Załącznik</w:t>
      </w:r>
    </w:p>
    <w:p w:rsidR="00705FC5" w:rsidRPr="007F70D6" w:rsidRDefault="00705FC5" w:rsidP="00705FC5">
      <w:pPr>
        <w:tabs>
          <w:tab w:val="center" w:pos="7371"/>
        </w:tabs>
        <w:suppressAutoHyphens w:val="0"/>
        <w:autoSpaceDE w:val="0"/>
        <w:spacing w:after="0" w:line="312" w:lineRule="auto"/>
        <w:jc w:val="right"/>
        <w:rPr>
          <w:rFonts w:ascii="Times New Roman" w:hAnsi="Times New Roman" w:cs="Times New Roman"/>
          <w:sz w:val="24"/>
          <w:szCs w:val="24"/>
        </w:rPr>
      </w:pPr>
      <w:r w:rsidRPr="007F70D6">
        <w:rPr>
          <w:rFonts w:ascii="Times New Roman" w:hAnsi="Times New Roman" w:cs="Times New Roman"/>
          <w:sz w:val="24"/>
          <w:szCs w:val="24"/>
        </w:rPr>
        <w:t>do Zarządzenia dyrektora</w:t>
      </w:r>
    </w:p>
    <w:p w:rsidR="00705FC5" w:rsidRPr="007F70D6" w:rsidRDefault="00705FC5" w:rsidP="00705FC5">
      <w:pPr>
        <w:tabs>
          <w:tab w:val="center" w:pos="7371"/>
        </w:tabs>
        <w:suppressAutoHyphens w:val="0"/>
        <w:autoSpaceDE w:val="0"/>
        <w:spacing w:after="0" w:line="312" w:lineRule="auto"/>
        <w:jc w:val="right"/>
        <w:rPr>
          <w:rFonts w:ascii="Times New Roman" w:hAnsi="Times New Roman" w:cs="Times New Roman"/>
          <w:sz w:val="24"/>
          <w:szCs w:val="24"/>
        </w:rPr>
      </w:pPr>
      <w:r>
        <w:rPr>
          <w:rFonts w:ascii="Times New Roman" w:hAnsi="Times New Roman" w:cs="Times New Roman"/>
          <w:sz w:val="24"/>
          <w:szCs w:val="24"/>
        </w:rPr>
        <w:t>nr 4/2024 z dnia 13 lutego 2024 r.</w:t>
      </w:r>
    </w:p>
    <w:p w:rsidR="00705FC5" w:rsidRPr="007F70D6" w:rsidRDefault="00705FC5" w:rsidP="00705FC5">
      <w:pPr>
        <w:tabs>
          <w:tab w:val="center" w:pos="7371"/>
        </w:tabs>
        <w:suppressAutoHyphens w:val="0"/>
        <w:autoSpaceDE w:val="0"/>
        <w:spacing w:after="0" w:line="312" w:lineRule="auto"/>
        <w:rPr>
          <w:rFonts w:ascii="Times New Roman" w:hAnsi="Times New Roman" w:cs="Times New Roman"/>
          <w:sz w:val="24"/>
          <w:szCs w:val="24"/>
        </w:rPr>
      </w:pPr>
    </w:p>
    <w:p w:rsidR="00705FC5" w:rsidRPr="007F70D6" w:rsidRDefault="00705FC5" w:rsidP="00705FC5">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sz w:val="24"/>
          <w:szCs w:val="24"/>
        </w:rPr>
        <w:t>Zasady określające zakres kompetencji osoby odpowiedzialnej za przygotowanie personelu placówki do stosowania standardów ochrony małoletnich, zasady przygotowania personelu do ich stosowania oraz sposoby dokumentowania tej czynności</w:t>
      </w:r>
    </w:p>
    <w:p w:rsidR="00705FC5" w:rsidRPr="007F70D6" w:rsidRDefault="00705FC5" w:rsidP="00705FC5">
      <w:pPr>
        <w:tabs>
          <w:tab w:val="center" w:pos="7371"/>
        </w:tabs>
        <w:suppressAutoHyphens w:val="0"/>
        <w:autoSpaceDE w:val="0"/>
        <w:spacing w:after="0" w:line="312" w:lineRule="auto"/>
        <w:jc w:val="center"/>
        <w:rPr>
          <w:rFonts w:ascii="Times New Roman" w:hAnsi="Times New Roman" w:cs="Times New Roman"/>
          <w:b/>
          <w:bCs/>
          <w:sz w:val="24"/>
          <w:szCs w:val="24"/>
        </w:rPr>
      </w:pPr>
    </w:p>
    <w:p w:rsidR="00705FC5" w:rsidRPr="007F70D6" w:rsidRDefault="00705FC5" w:rsidP="00705FC5">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sz w:val="24"/>
          <w:szCs w:val="24"/>
        </w:rPr>
        <w:t>§ 1</w:t>
      </w:r>
    </w:p>
    <w:p w:rsidR="00705FC5" w:rsidRPr="007F70D6" w:rsidRDefault="00705FC5" w:rsidP="00705FC5">
      <w:pPr>
        <w:numPr>
          <w:ilvl w:val="0"/>
          <w:numId w:val="1"/>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sz w:val="24"/>
          <w:szCs w:val="24"/>
        </w:rPr>
        <w:t>Przed nawiązaniem z osobą stosunku pracy lub przed dopuszczeniem osoby do innej działalności związanej z wychowaniem, edukacją, wypoczynkiem małoletnich lub z opieką nad nimi dyrektor uzyskuje informacje, czy dane tej osoby są zamieszczone w Rejestrze z dostępem ograniczonym lub w Rejestrze osób, w stosunku do których Państwowa Komisja do spraw przeciwdziałania wykorzystaniu seksualnemu małoletnich poniżej lat 15 wydała postanowienie o wpisie w Rejestrze.</w:t>
      </w:r>
    </w:p>
    <w:p w:rsidR="00705FC5" w:rsidRPr="007F70D6" w:rsidRDefault="00705FC5" w:rsidP="00705FC5">
      <w:pPr>
        <w:numPr>
          <w:ilvl w:val="0"/>
          <w:numId w:val="1"/>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sz w:val="24"/>
          <w:szCs w:val="24"/>
        </w:rPr>
        <w:t>Przez inną działalność związaną z wychowaniem, edukacją, wypoczynkiem małoletnich należy rozumieć w szczególności wykonywanie czynności związane z organizacją wypoczynku małoletnich, wykonywanie umów cywilnoprawnych związanych z wychowaniem, edukacją, wypoczynkiem małoletnich lub z opieką nad nimi.</w:t>
      </w:r>
    </w:p>
    <w:p w:rsidR="00705FC5" w:rsidRPr="007F70D6" w:rsidRDefault="00705FC5" w:rsidP="00705FC5">
      <w:pPr>
        <w:tabs>
          <w:tab w:val="center" w:pos="7371"/>
        </w:tabs>
        <w:suppressAutoHyphens w:val="0"/>
        <w:autoSpaceDE w:val="0"/>
        <w:spacing w:after="0" w:line="312" w:lineRule="auto"/>
        <w:jc w:val="both"/>
        <w:rPr>
          <w:rFonts w:ascii="Times New Roman" w:hAnsi="Times New Roman" w:cs="Times New Roman"/>
          <w:sz w:val="24"/>
          <w:szCs w:val="24"/>
        </w:rPr>
      </w:pPr>
    </w:p>
    <w:p w:rsidR="00705FC5" w:rsidRPr="007F70D6" w:rsidRDefault="00705FC5" w:rsidP="00705FC5">
      <w:pPr>
        <w:tabs>
          <w:tab w:val="center" w:pos="7371"/>
        </w:tabs>
        <w:suppressAutoHyphens w:val="0"/>
        <w:autoSpaceDE w:val="0"/>
        <w:spacing w:after="0" w:line="312" w:lineRule="auto"/>
        <w:jc w:val="center"/>
        <w:rPr>
          <w:rFonts w:ascii="Times New Roman" w:hAnsi="Times New Roman" w:cs="Times New Roman"/>
          <w:sz w:val="24"/>
          <w:szCs w:val="24"/>
        </w:rPr>
      </w:pPr>
      <w:r w:rsidRPr="007F70D6">
        <w:rPr>
          <w:rFonts w:ascii="Times New Roman" w:hAnsi="Times New Roman" w:cs="Times New Roman"/>
          <w:b/>
          <w:bCs/>
          <w:color w:val="1D1D1B"/>
          <w:sz w:val="24"/>
          <w:szCs w:val="24"/>
        </w:rPr>
        <w:t>§ 2</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Osobą odpowiedzialną za przygotowanie personelu placówki do stosowania standardów ochrony małoletnich jest dyrektor placówki. Dyrektor może upoważnić wyznaczoną przez siebie osobę do przygotowania personelu placówki do stosowania standardów ochrony małoletnich. Wzór upoważnienia stanowi załącznik nr 1 do niniejszej procedury.</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Osoba upoważniona przez dyrektora, o której mowa w ust. 1, musi posiadać niezbędną wiedzę pozwalającą na przeprowadzenie szkoleń pracowników placówki, obejmujących następujące zagadnienia:</w:t>
      </w:r>
    </w:p>
    <w:p w:rsidR="00705FC5" w:rsidRPr="007F70D6" w:rsidRDefault="00705FC5" w:rsidP="00705FC5">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rozpoznawanie symptomów krzywdzenia małoletnich,</w:t>
      </w:r>
    </w:p>
    <w:p w:rsidR="00705FC5" w:rsidRPr="007F70D6" w:rsidRDefault="00705FC5" w:rsidP="00705FC5">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procedury interwencji w przypadku podejrzeń krzywdzenia małoletnich,</w:t>
      </w:r>
    </w:p>
    <w:p w:rsidR="00705FC5" w:rsidRPr="007F70D6" w:rsidRDefault="00705FC5" w:rsidP="00705FC5">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odpowiedzialność prawna pracowników placówki zobowiązanych do podejmowania interwencji w przypadku podejrzenia lub stwierdzenia krzywdzenia małoletnich,</w:t>
      </w:r>
    </w:p>
    <w:p w:rsidR="00705FC5" w:rsidRPr="007F70D6" w:rsidRDefault="00705FC5" w:rsidP="00705FC5">
      <w:pPr>
        <w:numPr>
          <w:ilvl w:val="1"/>
          <w:numId w:val="2"/>
        </w:numPr>
        <w:tabs>
          <w:tab w:val="clear" w:pos="1080"/>
        </w:tabs>
        <w:suppressAutoHyphens w:val="0"/>
        <w:autoSpaceDE w:val="0"/>
        <w:spacing w:after="0" w:line="312" w:lineRule="auto"/>
        <w:ind w:left="723"/>
        <w:jc w:val="both"/>
        <w:rPr>
          <w:rFonts w:ascii="Times New Roman" w:hAnsi="Times New Roman" w:cs="Times New Roman"/>
          <w:sz w:val="24"/>
          <w:szCs w:val="24"/>
        </w:rPr>
      </w:pPr>
      <w:r w:rsidRPr="007F70D6">
        <w:rPr>
          <w:rFonts w:ascii="Times New Roman" w:hAnsi="Times New Roman" w:cs="Times New Roman"/>
          <w:color w:val="1D1D1B"/>
          <w:sz w:val="24"/>
          <w:szCs w:val="24"/>
        </w:rPr>
        <w:t>stosowanie procedury „Niebieskie Karty”.</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Szkolenia, o których mowa w ust. 2, są organizowane raz w roku, w terminie wskazanym przez dyrektora. </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Osoba, o której mowa w ust. 1, zapoznaje pracowników ze standardami ochrony małoletnich oraz odbiera od każdego zatrudnionego pracownika oświadczenie o </w:t>
      </w:r>
      <w:r w:rsidRPr="007F70D6">
        <w:rPr>
          <w:rFonts w:ascii="Times New Roman" w:hAnsi="Times New Roman" w:cs="Times New Roman"/>
          <w:color w:val="1D1D1B"/>
          <w:sz w:val="24"/>
          <w:szCs w:val="24"/>
        </w:rPr>
        <w:lastRenderedPageBreak/>
        <w:t xml:space="preserve">zapoznaniu się ze standardami ochrony małoletnich obowiązującymi w placówce. Wzór oświadczenia pracownika stanowi załącznik nr 2 do niniejszej procedury. </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Pracownicy nowo zatrudnieni w placówce są zapoznawani ze standardami w pierwszym tygodniu pracy i w tym czasie jest od nich odbierane oświadczenie, o którym mowa w ust. 4. </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sz w:val="24"/>
          <w:szCs w:val="24"/>
        </w:rPr>
      </w:pPr>
      <w:r w:rsidRPr="007F70D6">
        <w:rPr>
          <w:rFonts w:ascii="Times New Roman" w:hAnsi="Times New Roman" w:cs="Times New Roman"/>
          <w:color w:val="1D1D1B"/>
          <w:sz w:val="24"/>
          <w:szCs w:val="24"/>
        </w:rPr>
        <w:t xml:space="preserve">Osoba, o której mowa w ust. 1, bierze udział w rekrutacji pracowników i w jej trakcie ocenia przygotowanie kandydata do pracy z dziećmi małoletnimi. </w:t>
      </w:r>
    </w:p>
    <w:p w:rsidR="00705FC5" w:rsidRPr="007F70D6" w:rsidRDefault="00705FC5" w:rsidP="00705FC5">
      <w:pPr>
        <w:numPr>
          <w:ilvl w:val="0"/>
          <w:numId w:val="2"/>
        </w:numPr>
        <w:tabs>
          <w:tab w:val="clear" w:pos="720"/>
        </w:tabs>
        <w:suppressAutoHyphens w:val="0"/>
        <w:autoSpaceDE w:val="0"/>
        <w:spacing w:after="0" w:line="312" w:lineRule="auto"/>
        <w:ind w:left="360"/>
        <w:jc w:val="both"/>
        <w:rPr>
          <w:rFonts w:ascii="Times New Roman" w:hAnsi="Times New Roman" w:cs="Times New Roman"/>
          <w:color w:val="1D1D1B"/>
          <w:sz w:val="24"/>
          <w:szCs w:val="24"/>
        </w:rPr>
      </w:pPr>
      <w:r w:rsidRPr="007F70D6">
        <w:rPr>
          <w:rFonts w:ascii="Times New Roman" w:hAnsi="Times New Roman" w:cs="Times New Roman"/>
          <w:color w:val="1D1D1B"/>
          <w:sz w:val="24"/>
          <w:szCs w:val="24"/>
        </w:rPr>
        <w:t>Osoba, o której mowa w ust. 1, jest odpowiedzialna za przyjmowanie zgłoszeń o zdarzeniach zagrażających małoletniemu i udzielenie mu wsparcia.</w:t>
      </w:r>
    </w:p>
    <w:p w:rsidR="005801AD" w:rsidRDefault="005801AD"/>
    <w:sectPr w:rsidR="005801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Calibri" w:hAnsi="Times New Roman" w:cs="Times New Roman"/>
        <w:b w:val="0"/>
        <w:bCs w:val="0"/>
        <w:i w:val="0"/>
        <w:iCs w:val="0"/>
        <w:sz w:val="24"/>
        <w:szCs w:val="24"/>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FC5"/>
    <w:rsid w:val="005801AD"/>
    <w:rsid w:val="00705FC5"/>
    <w:rsid w:val="007262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FC5"/>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FC5"/>
    <w:pPr>
      <w:suppressAutoHyphens/>
    </w:pPr>
    <w:rPr>
      <w:rFonts w:ascii="Calibri" w:eastAsia="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2384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Dyrekcja</dc:creator>
  <cp:lastModifiedBy>user</cp:lastModifiedBy>
  <cp:revision>2</cp:revision>
  <dcterms:created xsi:type="dcterms:W3CDTF">2024-02-15T09:32:00Z</dcterms:created>
  <dcterms:modified xsi:type="dcterms:W3CDTF">2024-02-15T09:32:00Z</dcterms:modified>
</cp:coreProperties>
</file>